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494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МДОАУ «Детский сад «Буратино» </w:t>
      </w:r>
      <w:proofErr w:type="spellStart"/>
      <w:r w:rsidR="00494623">
        <w:rPr>
          <w:rFonts w:ascii="Times New Roman" w:eastAsia="Times New Roman" w:hAnsi="Times New Roman" w:cs="Times New Roman"/>
          <w:b/>
          <w:bCs/>
          <w:sz w:val="24"/>
          <w:szCs w:val="24"/>
        </w:rPr>
        <w:t>п.Новосергиевка</w:t>
      </w:r>
      <w:proofErr w:type="spellEnd"/>
      <w:r w:rsidR="003B22E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494623">
        <w:rPr>
          <w:rFonts w:ascii="Times New Roman" w:eastAsia="Times New Roman" w:hAnsi="Times New Roman" w:cs="Times New Roman"/>
          <w:sz w:val="24"/>
          <w:szCs w:val="24"/>
        </w:rPr>
        <w:t>и территория МДОАУ «Детский сад «Буратино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 правилам 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>и нормативам СанПиН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49462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49462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494623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организации педагогического </w:t>
            </w:r>
            <w:r w:rsidR="00494623">
              <w:rPr>
                <w:rFonts w:ascii="Times New Roman" w:eastAsia="Times New Roman" w:hAnsi="Times New Roman"/>
                <w:sz w:val="24"/>
                <w:szCs w:val="24"/>
              </w:rPr>
              <w:t>процесса зала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</w:t>
            </w:r>
            <w:r w:rsidR="00494623">
              <w:rPr>
                <w:rFonts w:ascii="Times New Roman" w:eastAsia="Times New Roman" w:hAnsi="Times New Roman"/>
                <w:sz w:val="24"/>
                <w:szCs w:val="24"/>
              </w:rPr>
              <w:t xml:space="preserve">ми и средствами </w:t>
            </w:r>
            <w:proofErr w:type="gramStart"/>
            <w:r w:rsidR="00494623">
              <w:rPr>
                <w:rFonts w:ascii="Times New Roman" w:eastAsia="Times New Roman" w:hAnsi="Times New Roman"/>
                <w:sz w:val="24"/>
                <w:szCs w:val="24"/>
              </w:rPr>
              <w:t xml:space="preserve">ИКТ 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494623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>(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</w:t>
            </w:r>
            <w:r w:rsidR="0049462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94623">
              <w:rPr>
                <w:rFonts w:ascii="Times New Roman" w:eastAsia="Times New Roman" w:hAnsi="Times New Roman"/>
                <w:sz w:val="24"/>
                <w:szCs w:val="24"/>
              </w:rPr>
              <w:t>теливизор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49462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49462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494623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3B22E8">
              <w:rPr>
                <w:rFonts w:ascii="Times New Roman" w:eastAsia="Times New Roman" w:hAnsi="Times New Roman"/>
                <w:sz w:val="24"/>
                <w:szCs w:val="24"/>
              </w:rPr>
              <w:t>, сканер,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22E8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4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proofErr w:type="gramEnd"/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494623" w:rsidRDefault="00494623" w:rsidP="001B75B5">
      <w:pPr>
        <w:jc w:val="both"/>
        <w:rPr>
          <w:rFonts w:ascii="Times New Roman" w:hAnsi="Times New Roman" w:cs="Times New Roman"/>
          <w:b/>
          <w:sz w:val="24"/>
        </w:rPr>
      </w:pPr>
    </w:p>
    <w:p w:rsidR="00494623" w:rsidRDefault="00494623" w:rsidP="001B75B5">
      <w:pPr>
        <w:jc w:val="both"/>
        <w:rPr>
          <w:rFonts w:ascii="Times New Roman" w:hAnsi="Times New Roman" w:cs="Times New Roman"/>
          <w:b/>
          <w:sz w:val="24"/>
        </w:rPr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B75B5"/>
    <w:rsid w:val="003B22E8"/>
    <w:rsid w:val="004235B3"/>
    <w:rsid w:val="0049462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D536-977C-456F-9554-C544E92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sadburatino5@mail.ru</cp:lastModifiedBy>
  <cp:revision>6</cp:revision>
  <dcterms:created xsi:type="dcterms:W3CDTF">2022-05-24T05:21:00Z</dcterms:created>
  <dcterms:modified xsi:type="dcterms:W3CDTF">2024-11-17T12:00:00Z</dcterms:modified>
</cp:coreProperties>
</file>